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综合素质考核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综合素质考核分为两部分：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前期研究成果（80分）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考生近五年完成的法学学术论著、研究课题、获奖和硕士学位论文（应届生提供开题报告及论文送审稿）。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第一，定向考生具体评分标准如下：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>A.学术成果总分60分，具体评分标准如下：</w:t>
      </w:r>
    </w:p>
    <w:tbl>
      <w:tblPr>
        <w:tblStyle w:val="3"/>
        <w:tblW w:w="41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single" w:color="999999" w:sz="2" w:space="0"/>
          <w:right w:val="single" w:color="999999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1710"/>
        <w:gridCol w:w="638"/>
        <w:gridCol w:w="322"/>
        <w:gridCol w:w="323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53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学术论著</w:t>
            </w: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论著类别</w:t>
            </w:r>
          </w:p>
        </w:tc>
        <w:tc>
          <w:tcPr>
            <w:tcW w:w="1928" w:type="dxa"/>
            <w:gridSpan w:val="4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法学类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CSSCI来源期刊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CSSCI扩展版、中文核心期刊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省级刊物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高端学术专著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其他学术专著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科研项目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省部级项目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科研奖励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省级哲学社会科学优秀成果奖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一等奖</w:t>
            </w:r>
          </w:p>
        </w:tc>
        <w:tc>
          <w:tcPr>
            <w:tcW w:w="645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二等奖</w:t>
            </w:r>
          </w:p>
        </w:tc>
        <w:tc>
          <w:tcPr>
            <w:tcW w:w="645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1.所有类型的学术成果均须为第一完成人或署名人；2.省级刊物论文仅限2篇，分值不超过10分；3.学术专著的分值依照河北大学有关高端成果的文件规定予以认定；4.科研项目须为结项课题；未结项但有阶段性成果的，按结项分值的60%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B.硕士学位论文（20分）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硕士学位论文由导师考核小组予以评定分值。考核小组所有成员根据硕士学位论文质量独立评价打分，加权平均得分为最终成绩。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第二，非定向考生具体评分标准如下：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术成果总分50分，具体评分标准参照定向考生的评分标准执行；硕士学位论文（或开题报告和论文送审稿）30分，考核小组所有成员根据硕士学位论文（或开题报告和论文送审稿）质量独立评价打分，加权平均得分为最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考生拟攻读博士学位期间研究计划（20分）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highlight w:val="yellow"/>
        </w:rPr>
        <w:t>研究计划按照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研究方向</w:t>
      </w:r>
      <w:r>
        <w:rPr>
          <w:rFonts w:hint="eastAsia" w:ascii="仿宋" w:hAnsi="仿宋" w:eastAsia="仿宋" w:cs="仿宋"/>
          <w:sz w:val="30"/>
          <w:szCs w:val="30"/>
        </w:rPr>
        <w:t>撰写，具备专业性、前沿性和可行性，内容充实，层次分明，富有创新性，重点考察考生的科研能力。经导师考核小组评议，由考生所报考的导师打分。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Yjc4ZmVhZDFmY2I3YzYxOWRiYzk2YWRkOTc3YTQifQ=="/>
    <w:docVar w:name="KSO_WPS_MARK_KEY" w:val="8d97bdb1-3396-4721-803d-bfea1fcabf0b"/>
  </w:docVars>
  <w:rsids>
    <w:rsidRoot w:val="2FAF4098"/>
    <w:rsid w:val="16CA0642"/>
    <w:rsid w:val="2B5B599F"/>
    <w:rsid w:val="2C02237E"/>
    <w:rsid w:val="2FAF4098"/>
    <w:rsid w:val="41B75ADD"/>
    <w:rsid w:val="77110F15"/>
    <w:rsid w:val="7B1623D5"/>
    <w:rsid w:val="7BF83BA9"/>
    <w:rsid w:val="BDCA9B4C"/>
    <w:rsid w:val="E7FBC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639</Characters>
  <Lines>0</Lines>
  <Paragraphs>0</Paragraphs>
  <TotalTime>15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2025-02-21T18:32:00Z</dcterms:created>
  <dc:creator>swcherry</dc:creator>
  <cp:lastModifiedBy>卞雪梅</cp:lastModifiedBy>
  <dcterms:modified xsi:type="dcterms:W3CDTF">2025-02-24T09:35:37Z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4036A3DFEA7B480489D6560BE040DEB7_11</vt:lpwstr>
  </property>
  <property fmtid="{D5CDD505-2E9C-101B-9397-08002B2CF9AE}" pid="4" name="KSOTemplateDocerSaveRecord">
    <vt:lpwstr>eyJoZGlkIjoiMThjMWRmMDE4NGI2MTJkNjIwYWFlNTE2ZDAyYzNiNTYiLCJ1c2VySWQiOiI1MDQ3MTU0NTgifQ==</vt:lpwstr>
  </property>
</Properties>
</file>